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EAE" w:rsidRPr="00B66FC4" w:rsidRDefault="00720EAE" w:rsidP="00720EAE">
      <w:pPr>
        <w:autoSpaceDE w:val="0"/>
        <w:jc w:val="center"/>
        <w:rPr>
          <w:rFonts w:eastAsia="Times New Roman CYR"/>
          <w:b/>
          <w:bCs/>
          <w:color w:val="000000"/>
          <w:sz w:val="20"/>
          <w:szCs w:val="20"/>
        </w:rPr>
      </w:pPr>
      <w:bookmarkStart w:id="0" w:name="OLE_LINK1"/>
      <w:bookmarkStart w:id="1" w:name="OLE_LINK2"/>
      <w:bookmarkStart w:id="2" w:name="OLE_LINK17"/>
      <w:bookmarkStart w:id="3" w:name="OLE_LINK3"/>
      <w:bookmarkStart w:id="4" w:name="OLE_LINK4"/>
      <w:r w:rsidRPr="00B66FC4">
        <w:rPr>
          <w:rFonts w:eastAsia="Times New Roman CYR"/>
          <w:b/>
          <w:bCs/>
          <w:color w:val="000000"/>
          <w:sz w:val="20"/>
          <w:szCs w:val="20"/>
        </w:rPr>
        <w:t>Сообщение</w:t>
      </w:r>
      <w:r w:rsidR="003D7103" w:rsidRPr="00B66FC4">
        <w:rPr>
          <w:rFonts w:eastAsia="Times New Roman CYR"/>
          <w:b/>
          <w:bCs/>
          <w:color w:val="000000"/>
          <w:sz w:val="20"/>
          <w:szCs w:val="20"/>
        </w:rPr>
        <w:t xml:space="preserve"> о существенном факте</w:t>
      </w:r>
      <w:r w:rsidRPr="00B66FC4">
        <w:rPr>
          <w:rFonts w:eastAsia="Times New Roman CYR"/>
          <w:b/>
          <w:bCs/>
          <w:color w:val="000000"/>
          <w:sz w:val="20"/>
          <w:szCs w:val="20"/>
        </w:rPr>
        <w:t xml:space="preserve"> </w:t>
      </w:r>
    </w:p>
    <w:p w:rsidR="006F7A14" w:rsidRPr="00B66FC4" w:rsidRDefault="00720EAE" w:rsidP="00481C5B">
      <w:pPr>
        <w:autoSpaceDE w:val="0"/>
        <w:jc w:val="center"/>
        <w:rPr>
          <w:rFonts w:eastAsia="Times New Roman CYR"/>
          <w:b/>
          <w:bCs/>
          <w:color w:val="000000"/>
          <w:sz w:val="20"/>
          <w:szCs w:val="20"/>
        </w:rPr>
      </w:pPr>
      <w:r w:rsidRPr="00B66FC4">
        <w:rPr>
          <w:rFonts w:eastAsia="Times New Roman CYR"/>
          <w:b/>
          <w:bCs/>
          <w:color w:val="000000"/>
          <w:sz w:val="20"/>
          <w:szCs w:val="20"/>
        </w:rPr>
        <w:t>«О проведении Общего собрания акционеров эмитента и о принятых им решениях»</w:t>
      </w:r>
    </w:p>
    <w:p w:rsidR="00927276" w:rsidRPr="00B66FC4" w:rsidRDefault="00927276" w:rsidP="00481C5B">
      <w:pPr>
        <w:autoSpaceDE w:val="0"/>
        <w:jc w:val="center"/>
        <w:rPr>
          <w:rFonts w:eastAsia="Times New Roman CYR"/>
          <w:b/>
          <w:bCs/>
          <w:color w:val="000000"/>
          <w:sz w:val="20"/>
          <w:szCs w:val="20"/>
        </w:rPr>
      </w:pPr>
    </w:p>
    <w:tbl>
      <w:tblPr>
        <w:tblW w:w="10803" w:type="dxa"/>
        <w:tblInd w:w="-7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"/>
        <w:gridCol w:w="6238"/>
        <w:gridCol w:w="4507"/>
        <w:gridCol w:w="29"/>
      </w:tblGrid>
      <w:tr w:rsidR="00AE4560" w:rsidRPr="00B66FC4" w:rsidTr="00AE4560">
        <w:trPr>
          <w:gridBefore w:val="1"/>
          <w:wBefore w:w="29" w:type="dxa"/>
        </w:trPr>
        <w:tc>
          <w:tcPr>
            <w:tcW w:w="107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sz w:val="20"/>
                <w:szCs w:val="20"/>
                <w:lang w:bidi="ar-SA"/>
              </w:rPr>
              <w:t>1. Общие сведения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  1.1. Полное фирменное наименование эмитента    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iCs/>
                <w:sz w:val="20"/>
                <w:szCs w:val="20"/>
                <w:lang w:bidi="ar-SA"/>
              </w:rPr>
              <w:t>Публичное акционерное общество "Наука-Связь"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  1.2. Адрес эмитента, указанный в едином государственном реестре юридических лиц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iCs/>
                <w:sz w:val="20"/>
                <w:szCs w:val="20"/>
                <w:lang w:bidi="ar-SA"/>
              </w:rPr>
              <w:t>125124, г. Москва, ул. 3-Я Ямского Поля, д. 2 к. 13 этаж 1 пом. IV ком. 16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  1.3. Основной государственный регистрационный номер (ОГРН) эмитента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iCs/>
                <w:sz w:val="20"/>
                <w:szCs w:val="20"/>
                <w:lang w:bidi="ar-SA"/>
              </w:rPr>
              <w:t>1077761976852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ind w:firstLine="180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>1.4. Идентификационный номер налогоплательщика (ИНН) эмитента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iCs/>
                <w:sz w:val="20"/>
                <w:szCs w:val="20"/>
                <w:lang w:bidi="ar-SA"/>
              </w:rPr>
              <w:t>7714716995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ind w:firstLine="38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  1.5. Уникальный   код   эмитента, присвоенный Банком России                                  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b/>
                <w:bCs/>
                <w:i/>
                <w:iCs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iCs/>
                <w:sz w:val="20"/>
                <w:szCs w:val="20"/>
                <w:lang w:bidi="ar-SA"/>
              </w:rPr>
              <w:t>12689-А</w:t>
            </w:r>
          </w:p>
        </w:tc>
      </w:tr>
      <w:tr w:rsidR="00AE4560" w:rsidRPr="00B66FC4" w:rsidTr="00AE4560">
        <w:trPr>
          <w:gridBefore w:val="1"/>
          <w:wBefore w:w="29" w:type="dxa"/>
        </w:trPr>
        <w:tc>
          <w:tcPr>
            <w:tcW w:w="6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E4560" w:rsidRPr="00B66FC4" w:rsidRDefault="00AE4560" w:rsidP="007371A4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  1.6. Адрес страницы в сети Интернет, и</w:t>
            </w:r>
            <w:r w:rsidRPr="00B66FC4">
              <w:rPr>
                <w:color w:val="000000"/>
                <w:sz w:val="20"/>
                <w:szCs w:val="20"/>
                <w:lang w:val="en-US" w:bidi="ar-SA"/>
              </w:rPr>
              <w:t>c</w:t>
            </w:r>
            <w:r w:rsidRPr="00B66FC4">
              <w:rPr>
                <w:color w:val="000000"/>
                <w:sz w:val="20"/>
                <w:szCs w:val="20"/>
                <w:lang w:bidi="ar-SA"/>
              </w:rPr>
              <w:t xml:space="preserve">пользуемой   эмитентом для раскрытия информации           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E4560" w:rsidRPr="00B66FC4" w:rsidRDefault="00AE4560" w:rsidP="007371A4">
            <w:pPr>
              <w:widowControl/>
              <w:suppressAutoHyphens w:val="0"/>
              <w:ind w:left="57" w:right="57"/>
              <w:rPr>
                <w:b/>
                <w:bCs/>
                <w:i/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b/>
                <w:bCs/>
                <w:i/>
                <w:color w:val="000000"/>
                <w:sz w:val="20"/>
                <w:szCs w:val="20"/>
                <w:lang w:val="en-US" w:bidi="ar-SA"/>
              </w:rPr>
              <w:t>http</w:t>
            </w:r>
            <w:r w:rsidR="00B40BA9">
              <w:rPr>
                <w:b/>
                <w:bCs/>
                <w:i/>
                <w:color w:val="000000"/>
                <w:sz w:val="20"/>
                <w:szCs w:val="20"/>
                <w:lang w:val="en-US" w:bidi="ar-SA"/>
              </w:rPr>
              <w:t>s</w:t>
            </w:r>
            <w:r w:rsidRPr="00B66FC4">
              <w:rPr>
                <w:b/>
                <w:bCs/>
                <w:i/>
                <w:color w:val="000000"/>
                <w:sz w:val="20"/>
                <w:szCs w:val="20"/>
                <w:lang w:bidi="ar-SA"/>
              </w:rPr>
              <w:t>://</w:t>
            </w:r>
            <w:r w:rsidRPr="00B66FC4">
              <w:rPr>
                <w:b/>
                <w:bCs/>
                <w:i/>
                <w:color w:val="000000"/>
                <w:sz w:val="20"/>
                <w:szCs w:val="20"/>
                <w:lang w:val="en-US" w:bidi="ar-SA"/>
              </w:rPr>
              <w:t>w</w:t>
            </w:r>
            <w:hyperlink r:id="rId5" w:history="1">
              <w:r w:rsidRPr="00B66FC4">
                <w:rPr>
                  <w:b/>
                  <w:i/>
                  <w:color w:val="000000"/>
                  <w:sz w:val="20"/>
                  <w:szCs w:val="20"/>
                  <w:lang w:eastAsia="x-none" w:bidi="ar-SA"/>
                </w:rPr>
                <w:t>ww.oaonsv.ru</w:t>
              </w:r>
            </w:hyperlink>
            <w:r w:rsidRPr="00B66FC4">
              <w:rPr>
                <w:b/>
                <w:bCs/>
                <w:i/>
                <w:color w:val="000000"/>
                <w:sz w:val="20"/>
                <w:szCs w:val="20"/>
                <w:lang w:bidi="ar-SA"/>
              </w:rPr>
              <w:t xml:space="preserve"> </w:t>
            </w:r>
          </w:p>
          <w:p w:rsidR="00AE4560" w:rsidRPr="00B66FC4" w:rsidRDefault="00AE4560" w:rsidP="007371A4">
            <w:pPr>
              <w:widowControl/>
              <w:suppressAutoHyphens w:val="0"/>
              <w:snapToGrid w:val="0"/>
              <w:ind w:left="57" w:right="57"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http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://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www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.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e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-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disclosure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.</w:t>
            </w:r>
            <w:proofErr w:type="spellStart"/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ru</w:t>
            </w:r>
            <w:proofErr w:type="spellEnd"/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/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portal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/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company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.</w:t>
            </w:r>
            <w:proofErr w:type="spellStart"/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aspx</w:t>
            </w:r>
            <w:proofErr w:type="spellEnd"/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?</w:t>
            </w:r>
            <w:r w:rsidRPr="00B66FC4">
              <w:rPr>
                <w:b/>
                <w:i/>
                <w:color w:val="000000"/>
                <w:sz w:val="20"/>
                <w:szCs w:val="20"/>
                <w:lang w:val="en-US" w:bidi="ar-SA"/>
              </w:rPr>
              <w:t>id</w:t>
            </w:r>
            <w:r w:rsidRPr="00B66FC4">
              <w:rPr>
                <w:b/>
                <w:i/>
                <w:color w:val="000000"/>
                <w:sz w:val="20"/>
                <w:szCs w:val="20"/>
                <w:lang w:bidi="ar-SA"/>
              </w:rPr>
              <w:t>=20639</w:t>
            </w:r>
          </w:p>
        </w:tc>
      </w:tr>
      <w:tr w:rsidR="00AE4560" w:rsidRPr="00B66FC4" w:rsidTr="00AE4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9" w:type="dxa"/>
          <w:trHeight w:val="96"/>
        </w:trPr>
        <w:tc>
          <w:tcPr>
            <w:tcW w:w="6238" w:type="dxa"/>
          </w:tcPr>
          <w:p w:rsidR="00AE4560" w:rsidRPr="00B66FC4" w:rsidRDefault="00AE4560" w:rsidP="007371A4">
            <w:pPr>
              <w:widowControl/>
              <w:suppressAutoHyphens w:val="0"/>
              <w:rPr>
                <w:sz w:val="20"/>
                <w:szCs w:val="20"/>
                <w:lang w:bidi="ar-SA"/>
              </w:rPr>
            </w:pPr>
            <w:r w:rsidRPr="00B66FC4">
              <w:rPr>
                <w:sz w:val="20"/>
                <w:szCs w:val="20"/>
                <w:lang w:bidi="ar-SA"/>
              </w:rPr>
              <w:t>1.7. Дата наступления события, о котором составлено сообщение</w:t>
            </w:r>
          </w:p>
        </w:tc>
        <w:tc>
          <w:tcPr>
            <w:tcW w:w="4536" w:type="dxa"/>
            <w:gridSpan w:val="2"/>
          </w:tcPr>
          <w:p w:rsidR="00AE4560" w:rsidRPr="00B66FC4" w:rsidRDefault="0057507C" w:rsidP="007371A4">
            <w:pPr>
              <w:widowControl/>
              <w:suppressAutoHyphens w:val="0"/>
              <w:ind w:right="57"/>
              <w:rPr>
                <w:b/>
                <w:i/>
                <w:sz w:val="20"/>
                <w:szCs w:val="20"/>
                <w:lang w:bidi="ar-SA"/>
              </w:rPr>
            </w:pPr>
            <w:r>
              <w:rPr>
                <w:b/>
                <w:i/>
                <w:sz w:val="20"/>
                <w:szCs w:val="20"/>
                <w:lang w:bidi="ar-SA"/>
              </w:rPr>
              <w:t>28</w:t>
            </w:r>
            <w:r w:rsidR="00AE4560" w:rsidRPr="00B66FC4">
              <w:rPr>
                <w:b/>
                <w:i/>
                <w:sz w:val="20"/>
                <w:szCs w:val="20"/>
                <w:lang w:bidi="ar-SA"/>
              </w:rPr>
              <w:t>.</w:t>
            </w:r>
            <w:r w:rsidR="00C425A3">
              <w:rPr>
                <w:b/>
                <w:i/>
                <w:sz w:val="20"/>
                <w:szCs w:val="20"/>
                <w:lang w:bidi="ar-SA"/>
              </w:rPr>
              <w:t>0</w:t>
            </w:r>
            <w:r w:rsidR="00094C09">
              <w:rPr>
                <w:b/>
                <w:i/>
                <w:sz w:val="20"/>
                <w:szCs w:val="20"/>
                <w:lang w:bidi="ar-SA"/>
              </w:rPr>
              <w:t>5</w:t>
            </w:r>
            <w:r w:rsidR="00AE4560" w:rsidRPr="00B66FC4">
              <w:rPr>
                <w:b/>
                <w:i/>
                <w:sz w:val="20"/>
                <w:szCs w:val="20"/>
                <w:lang w:bidi="ar-SA"/>
              </w:rPr>
              <w:t>.202</w:t>
            </w:r>
            <w:r w:rsidR="00094C09">
              <w:rPr>
                <w:b/>
                <w:i/>
                <w:sz w:val="20"/>
                <w:szCs w:val="20"/>
                <w:lang w:bidi="ar-SA"/>
              </w:rPr>
              <w:t>6</w:t>
            </w:r>
            <w:r w:rsidR="00AE4560" w:rsidRPr="00B66FC4">
              <w:rPr>
                <w:b/>
                <w:i/>
                <w:sz w:val="20"/>
                <w:szCs w:val="20"/>
                <w:lang w:bidi="ar-SA"/>
              </w:rPr>
              <w:t xml:space="preserve"> г.</w:t>
            </w:r>
          </w:p>
        </w:tc>
      </w:tr>
      <w:tr w:rsidR="002B5C71" w:rsidRPr="00B66FC4" w:rsidTr="00AE4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80"/>
        </w:trPr>
        <w:tc>
          <w:tcPr>
            <w:tcW w:w="10774" w:type="dxa"/>
            <w:gridSpan w:val="3"/>
            <w:shd w:val="clear" w:color="auto" w:fill="auto"/>
          </w:tcPr>
          <w:p w:rsidR="002B5C71" w:rsidRPr="00B66FC4" w:rsidRDefault="002B5C71" w:rsidP="007371A4">
            <w:pPr>
              <w:autoSpaceDE w:val="0"/>
              <w:jc w:val="center"/>
              <w:rPr>
                <w:rFonts w:eastAsia="Times New Roman CYR"/>
                <w:b/>
                <w:bCs/>
                <w:color w:val="000000"/>
                <w:sz w:val="20"/>
                <w:szCs w:val="20"/>
              </w:rPr>
            </w:pPr>
            <w:r w:rsidRPr="00B66FC4">
              <w:rPr>
                <w:rFonts w:eastAsia="Times New Roman CYR"/>
                <w:b/>
                <w:bCs/>
                <w:color w:val="000000"/>
                <w:sz w:val="20"/>
                <w:szCs w:val="20"/>
              </w:rPr>
              <w:t>2. Содержание сообщения</w:t>
            </w:r>
          </w:p>
        </w:tc>
      </w:tr>
      <w:tr w:rsidR="008A54C2" w:rsidRPr="00B66FC4" w:rsidTr="00AE4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80"/>
        </w:trPr>
        <w:tc>
          <w:tcPr>
            <w:tcW w:w="10774" w:type="dxa"/>
            <w:gridSpan w:val="3"/>
            <w:shd w:val="clear" w:color="auto" w:fill="auto"/>
          </w:tcPr>
          <w:p w:rsidR="00720EAE" w:rsidRPr="00B66FC4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 xml:space="preserve">2.1. Вид Общего собрания акционеров ПАО «Наука-Связь»: </w:t>
            </w:r>
            <w:r w:rsidR="00747EDF" w:rsidRPr="00B66FC4">
              <w:rPr>
                <w:b/>
                <w:i/>
                <w:color w:val="000000"/>
                <w:sz w:val="20"/>
                <w:szCs w:val="20"/>
              </w:rPr>
              <w:t>Внеочередное</w:t>
            </w:r>
            <w:r w:rsidR="00AD49CA">
              <w:rPr>
                <w:b/>
                <w:i/>
                <w:color w:val="000000"/>
                <w:sz w:val="20"/>
                <w:szCs w:val="20"/>
              </w:rPr>
              <w:t>.</w:t>
            </w:r>
          </w:p>
          <w:p w:rsidR="00BB76DB" w:rsidRPr="00B66FC4" w:rsidRDefault="00BB76DB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i/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 xml:space="preserve">2.2. Форма проведения Общего собрания акционеров ПАО «Наука-Связь»: </w:t>
            </w:r>
            <w:r w:rsidRPr="00B66FC4">
              <w:rPr>
                <w:b/>
                <w:i/>
                <w:color w:val="000000"/>
                <w:sz w:val="20"/>
                <w:szCs w:val="20"/>
              </w:rPr>
              <w:t>заочное голосование.</w:t>
            </w:r>
          </w:p>
          <w:p w:rsidR="00720EAE" w:rsidRPr="00B66FC4" w:rsidRDefault="00BB76DB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 xml:space="preserve">2.3. Дата, место, время проведения Общего собрания акционеров ПАО «Наука-Связь»: </w:t>
            </w:r>
            <w:r w:rsidRPr="00B66FC4">
              <w:rPr>
                <w:b/>
                <w:i/>
                <w:iCs/>
                <w:color w:val="000000"/>
                <w:sz w:val="20"/>
                <w:szCs w:val="20"/>
              </w:rPr>
              <w:t>дата проведения общего собрания</w:t>
            </w:r>
            <w:r w:rsidR="00DB2F9C">
              <w:rPr>
                <w:b/>
                <w:i/>
                <w:iCs/>
                <w:color w:val="000000"/>
                <w:sz w:val="20"/>
                <w:szCs w:val="20"/>
              </w:rPr>
              <w:t xml:space="preserve"> акционеров</w:t>
            </w:r>
            <w:r w:rsidRPr="00B66FC4">
              <w:rPr>
                <w:b/>
                <w:i/>
                <w:iCs/>
                <w:color w:val="000000"/>
                <w:sz w:val="20"/>
                <w:szCs w:val="20"/>
              </w:rPr>
              <w:t xml:space="preserve"> (дата окончания приема заполненных бюлл</w:t>
            </w:r>
            <w:r w:rsidR="00E002D9" w:rsidRPr="00B66FC4">
              <w:rPr>
                <w:b/>
                <w:i/>
                <w:iCs/>
                <w:color w:val="000000"/>
                <w:sz w:val="20"/>
                <w:szCs w:val="20"/>
              </w:rPr>
              <w:t>етеней):</w:t>
            </w:r>
            <w:r w:rsidR="0057507C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26</w:t>
            </w:r>
            <w:r w:rsidR="000441EA"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="00C425A3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  <w:r w:rsidR="00094C09">
              <w:rPr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0441EA"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>.202</w:t>
            </w:r>
            <w:r w:rsidR="00094C09">
              <w:rPr>
                <w:b/>
                <w:bCs/>
                <w:i/>
                <w:iCs/>
                <w:color w:val="000000"/>
                <w:sz w:val="20"/>
                <w:szCs w:val="20"/>
              </w:rPr>
              <w:t>6</w:t>
            </w:r>
            <w:r w:rsidR="00C425A3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6FC4">
              <w:rPr>
                <w:b/>
                <w:i/>
                <w:iCs/>
                <w:color w:val="000000"/>
                <w:sz w:val="20"/>
                <w:szCs w:val="20"/>
              </w:rPr>
              <w:t>г.</w:t>
            </w:r>
            <w:r w:rsidR="00DB2F9C">
              <w:rPr>
                <w:b/>
                <w:i/>
                <w:iCs/>
                <w:color w:val="000000"/>
                <w:sz w:val="20"/>
                <w:szCs w:val="20"/>
              </w:rPr>
              <w:t>;</w:t>
            </w:r>
            <w:r w:rsidRPr="00B66FC4">
              <w:rPr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почтовый адрес, по которому направлялись </w:t>
            </w:r>
            <w:r w:rsidR="00F9419E"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>(могли направляться)</w:t>
            </w:r>
            <w:r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заполненные бюллетени: </w:t>
            </w:r>
            <w:r w:rsidR="00DB2F9C" w:rsidRPr="00DB2F9C">
              <w:rPr>
                <w:b/>
                <w:bCs/>
                <w:i/>
                <w:iCs/>
                <w:color w:val="000000"/>
                <w:sz w:val="20"/>
                <w:szCs w:val="20"/>
              </w:rPr>
              <w:t>Российская Федерация, 127287, г. Москва, 2-я Хуторская ул., д.38А., строение 15, 3 этаж, офис ПАО «Наука-Связь».</w:t>
            </w:r>
          </w:p>
          <w:p w:rsidR="00B40980" w:rsidRPr="00B66FC4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 xml:space="preserve">2.4. </w:t>
            </w:r>
            <w:r w:rsidR="001F4593" w:rsidRPr="00B66FC4">
              <w:rPr>
                <w:color w:val="000000"/>
                <w:sz w:val="20"/>
                <w:szCs w:val="20"/>
              </w:rPr>
              <w:t>Сведения о к</w:t>
            </w:r>
            <w:r w:rsidRPr="00B66FC4">
              <w:rPr>
                <w:color w:val="000000"/>
                <w:sz w:val="20"/>
                <w:szCs w:val="20"/>
              </w:rPr>
              <w:t>ворум</w:t>
            </w:r>
            <w:r w:rsidR="001F4593" w:rsidRPr="00B66FC4">
              <w:rPr>
                <w:color w:val="000000"/>
                <w:sz w:val="20"/>
                <w:szCs w:val="20"/>
              </w:rPr>
              <w:t>е</w:t>
            </w:r>
            <w:r w:rsidRPr="00B66FC4">
              <w:rPr>
                <w:color w:val="000000"/>
                <w:sz w:val="20"/>
                <w:szCs w:val="20"/>
              </w:rPr>
              <w:t xml:space="preserve"> Общего собрания акционеров ПАО «Наука-Связь»:</w:t>
            </w:r>
          </w:p>
          <w:p w:rsidR="00E52637" w:rsidRDefault="00E52637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E52637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 w:rsidR="0057507C">
              <w:rPr>
                <w:b/>
                <w:bCs/>
                <w:sz w:val="20"/>
                <w:szCs w:val="20"/>
                <w:lang w:bidi="ar-SA"/>
              </w:rPr>
              <w:t xml:space="preserve">первому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>
              <w:rPr>
                <w:b/>
                <w:bCs/>
                <w:sz w:val="20"/>
                <w:szCs w:val="20"/>
                <w:lang w:bidi="ar-SA"/>
              </w:rPr>
              <w:t>второму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Default="0057507C" w:rsidP="007371A4">
                  <w:pPr>
                    <w:keepNext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Default="0057507C" w:rsidP="007371A4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6 029 261</w:t>
                  </w:r>
                </w:p>
              </w:tc>
            </w:tr>
          </w:tbl>
          <w:p w:rsidR="0057507C" w:rsidRDefault="0057507C" w:rsidP="007371A4">
            <w:pPr>
              <w:rPr>
                <w:vanish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Default="0057507C" w:rsidP="007371A4">
                  <w:pPr>
                    <w:keepNext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jc w:val="right"/>
                    <w:rPr>
                      <w:b/>
                      <w:sz w:val="20"/>
                      <w:szCs w:val="20"/>
                    </w:rPr>
                  </w:pPr>
                  <w:r w:rsidRPr="0057507C">
                    <w:rPr>
                      <w:b/>
                      <w:sz w:val="20"/>
                      <w:szCs w:val="20"/>
                    </w:rPr>
                    <w:t>Имеется</w:t>
                  </w:r>
                </w:p>
              </w:tc>
            </w:tr>
          </w:tbl>
          <w:p w:rsid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>
              <w:rPr>
                <w:b/>
                <w:bCs/>
                <w:sz w:val="20"/>
                <w:szCs w:val="20"/>
                <w:lang w:bidi="ar-SA"/>
              </w:rPr>
              <w:t>третьему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>
              <w:rPr>
                <w:b/>
                <w:bCs/>
                <w:sz w:val="20"/>
                <w:szCs w:val="20"/>
                <w:lang w:bidi="ar-SA"/>
              </w:rPr>
              <w:t>четвертому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>
              <w:rPr>
                <w:b/>
                <w:bCs/>
                <w:sz w:val="20"/>
                <w:szCs w:val="20"/>
                <w:lang w:bidi="ar-SA"/>
              </w:rPr>
              <w:t>пятому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b/>
                <w:bCs/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>Информация о наличии кворума по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 шестому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Pr="0057507C" w:rsidRDefault="0057507C" w:rsidP="007371A4">
            <w:pPr>
              <w:keepNext/>
              <w:keepLines/>
              <w:widowControl/>
              <w:suppressAutoHyphens w:val="0"/>
              <w:ind w:left="539"/>
              <w:rPr>
                <w:sz w:val="20"/>
                <w:szCs w:val="20"/>
                <w:lang w:bidi="ar-SA"/>
              </w:rPr>
            </w:pP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Информация о наличии кворума по </w:t>
            </w:r>
            <w:r>
              <w:rPr>
                <w:b/>
                <w:bCs/>
                <w:sz w:val="20"/>
                <w:szCs w:val="20"/>
                <w:lang w:bidi="ar-SA"/>
              </w:rPr>
              <w:t>седьмому</w:t>
            </w:r>
            <w:r w:rsidRPr="0057507C">
              <w:rPr>
                <w:b/>
                <w:bCs/>
                <w:sz w:val="20"/>
                <w:szCs w:val="20"/>
                <w:lang w:bidi="ar-SA"/>
              </w:rPr>
              <w:t xml:space="preserve"> вопросу повестки дня ****: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both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Число голосов, которыми по данному вопросу обладали лица, не заинтересованные в совершении обществом сделки, принявшие участие в общем собрании:</w:t>
                  </w:r>
                </w:p>
              </w:tc>
              <w:tc>
                <w:tcPr>
                  <w:tcW w:w="20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widowControl/>
                    <w:suppressAutoHyphens w:val="0"/>
                    <w:jc w:val="right"/>
                    <w:rPr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sz w:val="20"/>
                      <w:szCs w:val="20"/>
                      <w:lang w:bidi="ar-SA"/>
                    </w:rPr>
                    <w:t>6 029 261</w:t>
                  </w:r>
                </w:p>
              </w:tc>
            </w:tr>
          </w:tbl>
          <w:p w:rsidR="0057507C" w:rsidRPr="0057507C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487"/>
              <w:gridCol w:w="2083"/>
            </w:tblGrid>
            <w:tr w:rsidR="0057507C" w:rsidRPr="0057507C" w:rsidTr="0057507C">
              <w:trPr>
                <w:cantSplit/>
              </w:trPr>
              <w:tc>
                <w:tcPr>
                  <w:tcW w:w="74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57507C" w:rsidRPr="0057507C" w:rsidRDefault="0057507C" w:rsidP="007371A4">
                  <w:pPr>
                    <w:keepNext/>
                    <w:widowControl/>
                    <w:suppressAutoHyphens w:val="0"/>
                    <w:jc w:val="right"/>
                    <w:rPr>
                      <w:b/>
                      <w:sz w:val="20"/>
                      <w:szCs w:val="20"/>
                      <w:lang w:bidi="ar-SA"/>
                    </w:rPr>
                  </w:pPr>
                  <w:r w:rsidRPr="0057507C">
                    <w:rPr>
                      <w:b/>
                      <w:sz w:val="20"/>
                      <w:szCs w:val="20"/>
                      <w:lang w:bidi="ar-SA"/>
                    </w:rPr>
                    <w:t>Имеется</w:t>
                  </w:r>
                </w:p>
              </w:tc>
            </w:tr>
          </w:tbl>
          <w:p w:rsidR="0057507C" w:rsidRPr="00094C09" w:rsidRDefault="0057507C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p w:rsidR="00E52637" w:rsidRPr="00E52637" w:rsidRDefault="00E52637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p w:rsidR="00094C09" w:rsidRPr="00DB2F9C" w:rsidRDefault="00094C09" w:rsidP="007371A4">
            <w:pPr>
              <w:widowControl/>
              <w:suppressAutoHyphens w:val="0"/>
              <w:rPr>
                <w:vanish/>
                <w:lang w:bidi="ar-SA"/>
              </w:rPr>
            </w:pPr>
          </w:p>
          <w:p w:rsidR="00E52637" w:rsidRPr="00B66FC4" w:rsidRDefault="00E52637" w:rsidP="007371A4">
            <w:pPr>
              <w:widowControl/>
              <w:suppressAutoHyphens w:val="0"/>
              <w:rPr>
                <w:vanish/>
                <w:sz w:val="20"/>
                <w:szCs w:val="20"/>
                <w:lang w:bidi="ar-SA"/>
              </w:rPr>
            </w:pPr>
          </w:p>
          <w:p w:rsidR="003A3F9B" w:rsidRPr="00B66FC4" w:rsidRDefault="003A3F9B" w:rsidP="007371A4">
            <w:pPr>
              <w:rPr>
                <w:vanish/>
                <w:sz w:val="20"/>
                <w:szCs w:val="20"/>
              </w:rPr>
            </w:pPr>
          </w:p>
          <w:p w:rsidR="00B40980" w:rsidRPr="00B66FC4" w:rsidRDefault="00B40980" w:rsidP="007371A4">
            <w:pPr>
              <w:widowControl/>
              <w:suppressAutoHyphens w:val="0"/>
              <w:rPr>
                <w:vanish/>
                <w:sz w:val="20"/>
                <w:szCs w:val="20"/>
                <w:lang w:bidi="ar-SA"/>
              </w:rPr>
            </w:pPr>
          </w:p>
          <w:p w:rsidR="000441EA" w:rsidRPr="00B66FC4" w:rsidRDefault="000441EA" w:rsidP="007371A4">
            <w:pPr>
              <w:widowControl/>
              <w:suppressAutoHyphens w:val="0"/>
              <w:rPr>
                <w:b/>
                <w:bCs/>
                <w:vanish/>
                <w:sz w:val="20"/>
                <w:szCs w:val="20"/>
                <w:lang w:bidi="ar-SA"/>
              </w:rPr>
            </w:pPr>
          </w:p>
          <w:p w:rsidR="009D1B3C" w:rsidRPr="00B66FC4" w:rsidRDefault="009D1B3C" w:rsidP="007371A4">
            <w:pPr>
              <w:widowControl/>
              <w:suppressAutoHyphens w:val="0"/>
              <w:rPr>
                <w:vanish/>
                <w:sz w:val="20"/>
                <w:szCs w:val="20"/>
                <w:lang w:bidi="ar-SA"/>
              </w:rPr>
            </w:pPr>
          </w:p>
          <w:p w:rsidR="003606F3" w:rsidRPr="00B66FC4" w:rsidRDefault="003606F3" w:rsidP="007371A4">
            <w:pPr>
              <w:rPr>
                <w:vanish/>
                <w:sz w:val="20"/>
                <w:szCs w:val="20"/>
              </w:rPr>
            </w:pPr>
          </w:p>
          <w:p w:rsidR="00720EAE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>2.5. Повестка дня Общего собрания акционеров ПАО «Наука-Связь»: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sz w:val="20"/>
                <w:szCs w:val="20"/>
                <w:lang w:bidi="ar-SA"/>
              </w:rPr>
              <w:t>1.</w:t>
            </w:r>
            <w:r w:rsidRPr="0057507C">
              <w:rPr>
                <w:sz w:val="20"/>
                <w:szCs w:val="20"/>
                <w:lang w:bidi="ar-SA"/>
              </w:rPr>
              <w:tab/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«Наука-Связь».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2.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«Цифровые платформы».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3.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«ЭЛЕКТРОЩИТ».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4.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«Автоматизация и телекоммуникации».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5.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«Вега-ГАЗ».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6.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«ВегаМашПроект».</w:t>
            </w:r>
          </w:p>
          <w:p w:rsidR="0057507C" w:rsidRPr="0057507C" w:rsidRDefault="0057507C" w:rsidP="007371A4">
            <w:pPr>
              <w:widowControl/>
              <w:tabs>
                <w:tab w:val="left" w:pos="0"/>
              </w:tabs>
              <w:suppressAutoHyphens w:val="0"/>
              <w:ind w:firstLine="488"/>
              <w:jc w:val="both"/>
              <w:rPr>
                <w:b/>
                <w:i/>
                <w:sz w:val="20"/>
                <w:szCs w:val="20"/>
                <w:lang w:bidi="ar-SA"/>
              </w:rPr>
            </w:pPr>
            <w:r w:rsidRPr="0057507C">
              <w:rPr>
                <w:b/>
                <w:i/>
                <w:sz w:val="20"/>
                <w:szCs w:val="20"/>
                <w:lang w:bidi="ar-SA"/>
              </w:rPr>
              <w:t>7.</w:t>
            </w:r>
            <w:r w:rsidRPr="0057507C">
              <w:rPr>
                <w:b/>
                <w:i/>
                <w:sz w:val="20"/>
                <w:szCs w:val="20"/>
                <w:lang w:bidi="ar-SA"/>
              </w:rPr>
              <w:tab/>
              <w:t>Об одобрении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«Евро Инжиниринг».</w:t>
            </w:r>
          </w:p>
          <w:p w:rsidR="000063FE" w:rsidRPr="00B66FC4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>2.6. Результаты голосования по вопросам повестки дня Общего собрания акционеров ПАО «Наука-Связь», по которым имелся кворум:</w:t>
            </w:r>
          </w:p>
          <w:p w:rsidR="007371A4" w:rsidRDefault="007371A4" w:rsidP="007371A4">
            <w:pPr>
              <w:rPr>
                <w:b/>
                <w:bCs/>
                <w:sz w:val="20"/>
                <w:szCs w:val="20"/>
              </w:rPr>
            </w:pPr>
            <w:r w:rsidRPr="00B66FC4">
              <w:rPr>
                <w:b/>
                <w:bCs/>
                <w:sz w:val="20"/>
                <w:szCs w:val="20"/>
              </w:rPr>
              <w:t>По первому вопросу 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 xml:space="preserve">По второму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третьему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четвертому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пятому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шестому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7371A4" w:rsidRPr="00E52637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седьмому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tbl>
            <w:tblPr>
              <w:tblW w:w="95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7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18"/>
                      <w:szCs w:val="18"/>
                      <w:lang w:bidi="ar-SA"/>
                    </w:rPr>
                  </w:pP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b/>
                      <w:sz w:val="18"/>
                      <w:szCs w:val="18"/>
                    </w:rPr>
                    <w:t>Недейств</w:t>
                  </w:r>
                  <w:proofErr w:type="spellEnd"/>
                  <w:r>
                    <w:rPr>
                      <w:b/>
                      <w:sz w:val="18"/>
                      <w:szCs w:val="18"/>
                    </w:rPr>
                    <w:t xml:space="preserve">. и </w:t>
                  </w:r>
                </w:p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keepNext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Голоса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6 029 261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keepNext/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7371A4" w:rsidTr="007371A4">
              <w:trPr>
                <w:cantSplit/>
              </w:trPr>
              <w:tc>
                <w:tcPr>
                  <w:tcW w:w="8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71A4" w:rsidRDefault="007371A4" w:rsidP="007371A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7371A4" w:rsidRPr="007371A4" w:rsidRDefault="007371A4" w:rsidP="007371A4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7371A4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F128F0" w:rsidRPr="00B66FC4" w:rsidRDefault="00F128F0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color w:val="000000"/>
                <w:sz w:val="20"/>
                <w:szCs w:val="20"/>
              </w:rPr>
            </w:pPr>
            <w:r w:rsidRPr="00B66FC4">
              <w:rPr>
                <w:color w:val="000000"/>
                <w:sz w:val="20"/>
                <w:szCs w:val="20"/>
              </w:rPr>
              <w:t>2.7. Формулировки решений, принятых Общим собранием акционеров ПАО «Наука-Связь»</w:t>
            </w:r>
            <w:r w:rsidR="001F4593" w:rsidRPr="00B66FC4">
              <w:rPr>
                <w:color w:val="000000"/>
                <w:sz w:val="20"/>
                <w:szCs w:val="20"/>
              </w:rPr>
              <w:t xml:space="preserve"> по указанным вопросам</w:t>
            </w:r>
            <w:r w:rsidRPr="00B66FC4">
              <w:rPr>
                <w:color w:val="000000"/>
                <w:sz w:val="20"/>
                <w:szCs w:val="20"/>
              </w:rPr>
              <w:t>:</w:t>
            </w:r>
          </w:p>
          <w:p w:rsidR="000441EA" w:rsidRDefault="000441EA" w:rsidP="007371A4">
            <w:pPr>
              <w:rPr>
                <w:b/>
                <w:bCs/>
                <w:sz w:val="20"/>
                <w:szCs w:val="20"/>
              </w:rPr>
            </w:pPr>
            <w:r w:rsidRPr="00B66FC4">
              <w:rPr>
                <w:b/>
                <w:bCs/>
                <w:sz w:val="20"/>
                <w:szCs w:val="20"/>
              </w:rPr>
              <w:t>По первому вопросу 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bookmarkStart w:id="5" w:name="_Hlk227149165"/>
            <w:r>
              <w:rPr>
                <w:bCs/>
                <w:sz w:val="20"/>
                <w:szCs w:val="20"/>
              </w:rPr>
              <w:t>1. Предоставить согласие на заключение сделки</w:t>
            </w:r>
            <w:bookmarkEnd w:id="5"/>
            <w:r>
              <w:rPr>
                <w:bCs/>
                <w:sz w:val="20"/>
                <w:szCs w:val="20"/>
              </w:rPr>
              <w:t xml:space="preserve">, в совершении которой имеется заинтересованность, </w:t>
            </w:r>
            <w:bookmarkStart w:id="6" w:name="_Hlk227148303"/>
            <w:r>
              <w:rPr>
                <w:bCs/>
                <w:sz w:val="20"/>
                <w:szCs w:val="20"/>
              </w:rPr>
              <w:t xml:space="preserve">а именно – заключение с ПАО Сбербанк договора залога доли в уставном капитале Общества с ограниченной ответственностью «Наука-Связь». </w:t>
            </w:r>
            <w:bookmarkEnd w:id="6"/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«Наука-Связь» (ИНН 7714158099)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511 750 000 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bookmarkStart w:id="7" w:name="_Hlk227146907"/>
            <w:r>
              <w:rPr>
                <w:bCs/>
                <w:i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Основания заинтересованности: контролирующее лицо </w:t>
            </w:r>
            <w:r>
              <w:rPr>
                <w:bCs/>
                <w:sz w:val="20"/>
                <w:szCs w:val="20"/>
              </w:rPr>
              <w:t>Залогодателя</w:t>
            </w:r>
            <w:r>
              <w:rPr>
                <w:bCs/>
                <w:iCs/>
                <w:sz w:val="20"/>
                <w:szCs w:val="20"/>
              </w:rPr>
              <w:t xml:space="preserve"> (владеет 56,85% акций) одновременно является контролирующим лицом Выгодоприобретателя - ООО «Наука-Связь».</w:t>
            </w:r>
          </w:p>
          <w:bookmarkEnd w:id="7"/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второму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Предоставить согласие на заключение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«Цифровые платформы».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«Цифровые платформы» (ИНН</w:t>
            </w:r>
            <w:r>
              <w:rPr>
                <w:bCs/>
                <w:iCs/>
                <w:sz w:val="20"/>
                <w:szCs w:val="20"/>
              </w:rPr>
              <w:t xml:space="preserve"> 7714422554</w:t>
            </w:r>
            <w:r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 xml:space="preserve">10 000 </w:t>
            </w:r>
            <w:r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Основания заинтересованности: контролирующее лицо Залогодателя (владеет 56,85% акций) одновременно является контролирующим лицом Выгодоприобретателя - ООО «Наука-Связь».</w:t>
            </w:r>
          </w:p>
          <w:p w:rsidR="007371A4" w:rsidRPr="0057507C" w:rsidRDefault="007371A4" w:rsidP="007371A4">
            <w:pPr>
              <w:keepNext/>
              <w:keepLine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третьему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 xml:space="preserve">1. Предоставить согласие на заключение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«ЭЛЕКТРОЩИТ». 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  <w:u w:val="single"/>
              </w:rPr>
            </w:pPr>
            <w:r w:rsidRPr="0057507C"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/>
                <w:sz w:val="20"/>
                <w:szCs w:val="20"/>
              </w:rPr>
            </w:pPr>
            <w:r w:rsidRPr="0057507C"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 w:rsidRPr="0057507C">
              <w:rPr>
                <w:bCs/>
                <w:i/>
                <w:sz w:val="20"/>
                <w:szCs w:val="20"/>
              </w:rPr>
              <w:t>: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Залогодатель -  ПАО «Наука-Связь»;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/>
                <w:sz w:val="20"/>
                <w:szCs w:val="20"/>
              </w:rPr>
            </w:pPr>
            <w:r w:rsidRPr="0057507C"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«ЭЛЕКТРОЩИТ» (ИНН</w:t>
            </w:r>
            <w:r w:rsidRPr="0057507C">
              <w:rPr>
                <w:bCs/>
                <w:iCs/>
                <w:sz w:val="20"/>
                <w:szCs w:val="20"/>
              </w:rPr>
              <w:t xml:space="preserve"> 5043084558</w:t>
            </w:r>
            <w:r w:rsidRPr="0057507C"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 xml:space="preserve">- </w:t>
            </w:r>
            <w:r w:rsidRPr="0057507C"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 w:rsidRPr="0057507C">
              <w:rPr>
                <w:bCs/>
                <w:sz w:val="20"/>
                <w:szCs w:val="20"/>
              </w:rPr>
              <w:t xml:space="preserve"> – </w:t>
            </w:r>
            <w:r w:rsidRPr="0057507C">
              <w:rPr>
                <w:bCs/>
                <w:iCs/>
                <w:sz w:val="20"/>
                <w:szCs w:val="20"/>
              </w:rPr>
              <w:t xml:space="preserve">78 640 000 </w:t>
            </w:r>
            <w:r w:rsidRPr="0057507C"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i/>
                <w:sz w:val="20"/>
                <w:szCs w:val="20"/>
              </w:rPr>
              <w:t xml:space="preserve">- Срок договора - </w:t>
            </w:r>
            <w:r w:rsidRPr="0057507C"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  <w:u w:val="single"/>
              </w:rPr>
            </w:pPr>
            <w:r w:rsidRPr="0057507C"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Cs/>
                <w:sz w:val="20"/>
                <w:szCs w:val="20"/>
              </w:rPr>
            </w:pPr>
            <w:r w:rsidRPr="0057507C"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 w:rsidRPr="0057507C"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 w:rsidRPr="0057507C">
              <w:rPr>
                <w:bCs/>
                <w:iCs/>
                <w:sz w:val="20"/>
                <w:szCs w:val="20"/>
              </w:rPr>
              <w:t>ам</w:t>
            </w:r>
            <w:proofErr w:type="spellEnd"/>
            <w:r w:rsidRPr="0057507C"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57507C"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 w:rsidRPr="0057507C"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57507C"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 w:rsidRPr="0057507C"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Cs/>
                <w:sz w:val="20"/>
                <w:szCs w:val="20"/>
              </w:rPr>
            </w:pPr>
            <w:r w:rsidRPr="0057507C"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 w:rsidRPr="0057507C"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Cs/>
                <w:sz w:val="20"/>
                <w:szCs w:val="20"/>
              </w:rPr>
            </w:pPr>
            <w:r w:rsidRPr="0057507C"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Cs/>
                <w:sz w:val="20"/>
                <w:szCs w:val="20"/>
              </w:rPr>
            </w:pPr>
            <w:r w:rsidRPr="0057507C"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iCs/>
                <w:sz w:val="20"/>
                <w:szCs w:val="20"/>
              </w:rPr>
            </w:pPr>
            <w:r w:rsidRPr="0057507C"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Pr="0057507C" w:rsidRDefault="007371A4" w:rsidP="007371A4">
            <w:pPr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Основания заинтересованности: контролирующее лицо Залогодателя (владеет 56,85% акций) одновременно является контролирующим лицом Выгодоприобретателя - ООО «Наука-Связь».</w:t>
            </w:r>
          </w:p>
          <w:p w:rsidR="007371A4" w:rsidRPr="0057507C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Cs/>
                <w:sz w:val="20"/>
                <w:szCs w:val="20"/>
              </w:rPr>
            </w:pPr>
            <w:r w:rsidRPr="0057507C"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четвертому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Предоставить согласие на заключение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«Автоматизация и телекоммуникации» (далее – ООО «Автелком»).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«Автелком» (ИНН</w:t>
            </w:r>
            <w:r>
              <w:rPr>
                <w:bCs/>
                <w:iCs/>
                <w:sz w:val="20"/>
                <w:szCs w:val="20"/>
              </w:rPr>
              <w:t xml:space="preserve"> 7840467330</w:t>
            </w:r>
            <w:r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 xml:space="preserve">118 493 000 </w:t>
            </w:r>
            <w:r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Основания заинтересованности: контролирующее лицо </w:t>
            </w:r>
            <w:bookmarkStart w:id="8" w:name="_Hlk227148060"/>
            <w:r>
              <w:rPr>
                <w:bCs/>
                <w:sz w:val="20"/>
                <w:szCs w:val="20"/>
              </w:rPr>
              <w:t>Залогодателя</w:t>
            </w:r>
            <w:bookmarkEnd w:id="8"/>
            <w:r>
              <w:rPr>
                <w:bCs/>
                <w:sz w:val="20"/>
                <w:szCs w:val="20"/>
              </w:rPr>
              <w:t xml:space="preserve"> (владеет 56,85% акций) одновременно является контролирующим лицом Выгодоприобретателя - ООО «Наука-Связь».</w:t>
            </w:r>
          </w:p>
          <w:p w:rsidR="007371A4" w:rsidRDefault="007371A4" w:rsidP="007371A4">
            <w:pPr>
              <w:jc w:val="both"/>
              <w:rPr>
                <w:sz w:val="20"/>
                <w:szCs w:val="20"/>
                <w:lang w:bidi="ar-SA"/>
              </w:rPr>
            </w:pPr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пятому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Предоставить согласие на заключение сделки, 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«Вега-Газ».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«Вега-Газ» (ИНН</w:t>
            </w:r>
            <w:r>
              <w:rPr>
                <w:bCs/>
                <w:iCs/>
                <w:sz w:val="20"/>
                <w:szCs w:val="20"/>
              </w:rPr>
              <w:t xml:space="preserve"> 7704173066</w:t>
            </w:r>
            <w:r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 xml:space="preserve">195 084 000 </w:t>
            </w:r>
            <w:r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bookmarkStart w:id="9" w:name="_Hlk227147103"/>
            <w:r>
              <w:rPr>
                <w:b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Основания заинтересованности: контролирующее лицо Залогодателя (владеет 56,85% акций) одновременно является контролирующим лицом Выгодоприобретателя - ООО «Наука-Связь».</w:t>
            </w:r>
            <w:bookmarkEnd w:id="9"/>
          </w:p>
          <w:p w:rsidR="007371A4" w:rsidRDefault="007371A4" w:rsidP="007371A4">
            <w:pPr>
              <w:keepNext/>
              <w:keepLines/>
              <w:jc w:val="both"/>
              <w:rPr>
                <w:bCs/>
                <w:sz w:val="20"/>
                <w:szCs w:val="20"/>
              </w:rPr>
            </w:pPr>
            <w:bookmarkStart w:id="10" w:name="_Hlk227148048"/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  <w:bookmarkEnd w:id="10"/>
          </w:p>
          <w:p w:rsidR="007371A4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шестому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Предоставить согласие на заключение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«ВегаМашПроект».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«ВегаМашПроект» (ИНН</w:t>
            </w:r>
            <w:r>
              <w:rPr>
                <w:bCs/>
                <w:iCs/>
                <w:sz w:val="20"/>
                <w:szCs w:val="20"/>
              </w:rPr>
              <w:t xml:space="preserve"> 7724427382</w:t>
            </w:r>
            <w:r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 xml:space="preserve">10 000 </w:t>
            </w:r>
            <w:r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Основания заинтересованности: контролирующее лицо Залогодателя (владеет 56,85% акций) одновременно является контролирующим лицом Выгодоприобретателя - ООО «Наука-Связь».</w:t>
            </w:r>
          </w:p>
          <w:p w:rsidR="007371A4" w:rsidRDefault="007371A4" w:rsidP="007371A4">
            <w:pPr>
              <w:keepNext/>
              <w:keepLine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371A4" w:rsidRPr="00E52637" w:rsidRDefault="007371A4" w:rsidP="007371A4">
            <w:pPr>
              <w:keepNext/>
              <w:keepLines/>
              <w:widowControl/>
              <w:suppressAutoHyphens w:val="0"/>
              <w:jc w:val="both"/>
              <w:rPr>
                <w:b/>
                <w:bCs/>
                <w:sz w:val="20"/>
                <w:szCs w:val="20"/>
                <w:lang w:bidi="ar-SA"/>
              </w:rPr>
            </w:pPr>
            <w:r w:rsidRPr="007371A4">
              <w:rPr>
                <w:b/>
                <w:bCs/>
                <w:sz w:val="20"/>
                <w:szCs w:val="20"/>
                <w:lang w:bidi="ar-SA"/>
              </w:rPr>
              <w:t xml:space="preserve">По </w:t>
            </w:r>
            <w:r>
              <w:rPr>
                <w:b/>
                <w:bCs/>
                <w:sz w:val="20"/>
                <w:szCs w:val="20"/>
                <w:lang w:bidi="ar-SA"/>
              </w:rPr>
              <w:t xml:space="preserve">седьмому вопросу </w:t>
            </w:r>
            <w:r w:rsidRPr="00E52637">
              <w:rPr>
                <w:b/>
                <w:bCs/>
                <w:sz w:val="20"/>
                <w:szCs w:val="20"/>
                <w:lang w:bidi="ar-SA"/>
              </w:rPr>
              <w:t>повестки дня: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Предоставить согласие на заключение сделки, в совершении которой имеется заинтересованность, а именно – заключение с ПАО Сбербанк договора залога доли в уставном капитале Общества с ограниченной ответственностью «Евро Инжиниринг».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договора залога доли: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Стороны сделки</w:t>
            </w:r>
            <w:r>
              <w:rPr>
                <w:bCs/>
                <w:i/>
                <w:sz w:val="20"/>
                <w:szCs w:val="20"/>
              </w:rPr>
              <w:t>: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Залогодержатель – ПАО Сбербанк;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Залогодатель - ПАО «Наука-Связь»;</w:t>
            </w:r>
          </w:p>
          <w:p w:rsidR="007371A4" w:rsidRDefault="007371A4" w:rsidP="007371A4">
            <w:pPr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Предмет договора залога доли: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Передача Залогодателем принадлежащих ему 100% доли в уставном капитале ООО «Евро Инжиниринг» (ИНН</w:t>
            </w:r>
            <w:r>
              <w:rPr>
                <w:bCs/>
                <w:iCs/>
                <w:sz w:val="20"/>
                <w:szCs w:val="20"/>
              </w:rPr>
              <w:t xml:space="preserve"> 7733803403</w:t>
            </w:r>
            <w:r>
              <w:rPr>
                <w:bCs/>
                <w:sz w:val="20"/>
                <w:szCs w:val="20"/>
              </w:rPr>
              <w:t>) в залог Залогодержателю.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Указанным Предметом залога обеспечивается исполнение ООО «Наука-Связь» своих обязательств перед ПАО Сбербанк по Договору об открытии возобновляемой кредитной линии № 7M-400CSZW-JLV (далее – Договор), включая уплату основного долга, процентов и других платежей по Договору, в том числе неустойки, возмещения судебных и иных издержек по взысканию долга и других убытков, вызванных неисполнением или ненадлежащем исполнением обязательств по Договору.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i/>
                <w:sz w:val="20"/>
                <w:szCs w:val="20"/>
              </w:rPr>
              <w:t>Залоговая стоимость предмета залога</w:t>
            </w:r>
            <w:r>
              <w:rPr>
                <w:bCs/>
                <w:sz w:val="20"/>
                <w:szCs w:val="20"/>
              </w:rPr>
              <w:t xml:space="preserve"> – </w:t>
            </w:r>
            <w:r>
              <w:rPr>
                <w:bCs/>
                <w:iCs/>
                <w:sz w:val="20"/>
                <w:szCs w:val="20"/>
              </w:rPr>
              <w:t xml:space="preserve">10 000 </w:t>
            </w:r>
            <w:r>
              <w:rPr>
                <w:bCs/>
                <w:sz w:val="20"/>
                <w:szCs w:val="20"/>
              </w:rPr>
              <w:t xml:space="preserve">рублей; 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- Срок договора - </w:t>
            </w:r>
            <w:r>
              <w:rPr>
                <w:bCs/>
                <w:sz w:val="20"/>
                <w:szCs w:val="20"/>
              </w:rPr>
              <w:t>по 03 марта 2030 года включительно.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Иные сроки и порядок предоставления Залога определяются уполномоченным на подписание Договора залога доли (дополнительных соглашений к Договору залога доли) лицами Общества по согласованию с Залогодержателем (с правом дальнейшего изменения указанных условий Договора залога доли без получения одобрения коллегиальных органов управления Общества).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Прочие условия Договора залога доли, не утвержденные настоящим протоколом, не относятся к существенным условиям Договора залога доли и должны быть определены единоличным исполнительным органом Общества самостоятельно (по своему усмотрению), на указанные действия и на соблюдение всех формальностей, связанных с этим, настоящим протоколом единоличному исполнительному органу Общества предоставляются соответствующие полномочия. 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  <w:u w:val="single"/>
              </w:rPr>
              <w:t>Существенные условия Соглашения: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Целевое назначение кредита: </w:t>
            </w:r>
            <w:r>
              <w:rPr>
                <w:bCs/>
                <w:iCs/>
                <w:sz w:val="20"/>
                <w:szCs w:val="20"/>
              </w:rPr>
              <w:t>Пополнение оборотных средств, в том числе на формирование покрытия по аккредитиву(</w:t>
            </w:r>
            <w:proofErr w:type="spellStart"/>
            <w:r>
              <w:rPr>
                <w:bCs/>
                <w:iCs/>
                <w:sz w:val="20"/>
                <w:szCs w:val="20"/>
              </w:rPr>
              <w:t>ам</w:t>
            </w:r>
            <w:proofErr w:type="spellEnd"/>
            <w:r>
              <w:rPr>
                <w:bCs/>
                <w:iCs/>
                <w:sz w:val="20"/>
                <w:szCs w:val="20"/>
              </w:rPr>
              <w:t>) для расчета в целях, не противоречащих вышеперечисленным.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Сумма кредита: </w:t>
            </w:r>
            <w:r>
              <w:rPr>
                <w:bCs/>
                <w:iCs/>
                <w:sz w:val="20"/>
                <w:szCs w:val="20"/>
              </w:rPr>
              <w:t>500 000 000 (Пятьсот миллионов) рублей.</w:t>
            </w:r>
          </w:p>
          <w:p w:rsidR="007371A4" w:rsidRDefault="007371A4" w:rsidP="007371A4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Срок кредитования: </w:t>
            </w:r>
            <w:r>
              <w:rPr>
                <w:bCs/>
                <w:iCs/>
                <w:sz w:val="20"/>
                <w:szCs w:val="20"/>
              </w:rPr>
              <w:t>по 03 марта 2027 г.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- Процентная ставка</w:t>
            </w:r>
            <w:r>
              <w:rPr>
                <w:bCs/>
                <w:iCs/>
                <w:sz w:val="20"/>
                <w:szCs w:val="20"/>
              </w:rPr>
              <w:t>: Заемщик уплачивает проценты на следующих условиях: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за период с даты первой выдачи кредита (не включая эту дату) по дату полного погашения кредита, указанную в п. 5.1 Индивидуальных условий (включительно), - по плавающей процентной ставке, определяемой в указанном ниже порядке.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Размер плавающей процентной ставки устанавливается на указанных ниже условиях исходя из размера действующей ключевой ставки Банка России (плавающая составляющая) плюс фиксированная маржа (по тексту – «Фиксированная маржа»), составляющая 2,85 (Две целых восемьдесят пять сотых) процента годовых.</w:t>
            </w:r>
          </w:p>
          <w:p w:rsidR="007371A4" w:rsidRDefault="007371A4" w:rsidP="007371A4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С даты первой выдачи кредита (не включая эту дату) плавающая процентная ставка устанавливается в размере ключевой ставки Банка России по состоянию на дату первой выдачи кредита плюс Фиксированная маржа.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Заинтересованное лицо: АО «Русские Фонды».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  <w:u w:val="single"/>
              </w:rPr>
            </w:pPr>
            <w:r>
              <w:rPr>
                <w:bCs/>
                <w:sz w:val="20"/>
                <w:szCs w:val="20"/>
              </w:rPr>
              <w:t>Основания заинтересованности: контролирующее лицо Залогодателя (владеет 56,85% акций) одновременно является контролирующим лицом Выгодоприобретателя - ООО «Наука-Связь».</w:t>
            </w:r>
          </w:p>
          <w:p w:rsidR="007371A4" w:rsidRDefault="007371A4" w:rsidP="007371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 Предоставить Генеральному директору ПАО «Наука-Связь» Калинину Алексею Александровичу полномочия на заключение от имени Общества соответствующей сделки в целях исполнения настоящего решения.</w:t>
            </w:r>
          </w:p>
          <w:p w:rsidR="00720EAE" w:rsidRPr="00B66FC4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66FC4">
              <w:rPr>
                <w:bCs/>
                <w:color w:val="000000"/>
                <w:sz w:val="20"/>
                <w:szCs w:val="20"/>
              </w:rPr>
              <w:t>2.8. Дата составления и номер Протокола Общего собрания акционеров ПАО «Наука-Связь»:</w:t>
            </w:r>
            <w:r w:rsidR="00AC7981" w:rsidRPr="00B66FC4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94C09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="007371A4">
              <w:rPr>
                <w:b/>
                <w:bCs/>
                <w:i/>
                <w:color w:val="000000"/>
                <w:sz w:val="20"/>
                <w:szCs w:val="20"/>
              </w:rPr>
              <w:t>8</w:t>
            </w:r>
            <w:r w:rsidR="00286573" w:rsidRPr="00B66FC4"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="00C425A3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  <w:r w:rsidR="00094C09">
              <w:rPr>
                <w:b/>
                <w:bCs/>
                <w:i/>
                <w:color w:val="000000"/>
                <w:sz w:val="20"/>
                <w:szCs w:val="20"/>
              </w:rPr>
              <w:t>5</w:t>
            </w:r>
            <w:r w:rsidR="00A6044C" w:rsidRPr="00B66FC4"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  <w:r w:rsidR="00FA0488" w:rsidRPr="00B66FC4">
              <w:rPr>
                <w:b/>
                <w:bCs/>
                <w:i/>
                <w:color w:val="000000"/>
                <w:sz w:val="20"/>
                <w:szCs w:val="20"/>
              </w:rPr>
              <w:t>202</w:t>
            </w:r>
            <w:r w:rsidR="00094C09">
              <w:rPr>
                <w:b/>
                <w:bCs/>
                <w:i/>
                <w:color w:val="000000"/>
                <w:sz w:val="20"/>
                <w:szCs w:val="20"/>
              </w:rPr>
              <w:t>6</w:t>
            </w:r>
            <w:r w:rsidR="00B06DB5" w:rsidRPr="00B66FC4">
              <w:rPr>
                <w:b/>
                <w:bCs/>
                <w:i/>
                <w:color w:val="000000"/>
                <w:sz w:val="20"/>
                <w:szCs w:val="20"/>
              </w:rPr>
              <w:t xml:space="preserve"> г., </w:t>
            </w:r>
            <w:r w:rsidR="00286573" w:rsidRPr="00B66FC4">
              <w:rPr>
                <w:b/>
                <w:bCs/>
                <w:i/>
                <w:color w:val="000000"/>
                <w:sz w:val="20"/>
                <w:szCs w:val="20"/>
              </w:rPr>
              <w:t>Протокол №</w:t>
            </w:r>
            <w:r w:rsidR="003606F3" w:rsidRPr="00B66FC4">
              <w:rPr>
                <w:b/>
                <w:bCs/>
                <w:i/>
                <w:color w:val="000000"/>
                <w:sz w:val="20"/>
                <w:szCs w:val="20"/>
              </w:rPr>
              <w:t>0</w:t>
            </w:r>
            <w:r w:rsidR="007371A4">
              <w:rPr>
                <w:b/>
                <w:bCs/>
                <w:i/>
                <w:color w:val="000000"/>
                <w:sz w:val="20"/>
                <w:szCs w:val="20"/>
              </w:rPr>
              <w:t>2</w:t>
            </w:r>
            <w:r w:rsidR="00FA0488" w:rsidRPr="00B66FC4">
              <w:rPr>
                <w:b/>
                <w:bCs/>
                <w:i/>
                <w:color w:val="000000"/>
                <w:sz w:val="20"/>
                <w:szCs w:val="20"/>
              </w:rPr>
              <w:t>/2</w:t>
            </w:r>
            <w:r w:rsidR="00094C09">
              <w:rPr>
                <w:b/>
                <w:bCs/>
                <w:i/>
                <w:color w:val="000000"/>
                <w:sz w:val="20"/>
                <w:szCs w:val="20"/>
              </w:rPr>
              <w:t>6</w:t>
            </w:r>
            <w:r w:rsidRPr="00B66FC4">
              <w:rPr>
                <w:b/>
                <w:bCs/>
                <w:i/>
                <w:color w:val="000000"/>
                <w:sz w:val="20"/>
                <w:szCs w:val="20"/>
              </w:rPr>
              <w:t>.</w:t>
            </w:r>
          </w:p>
          <w:p w:rsidR="008A54C2" w:rsidRPr="00B66FC4" w:rsidRDefault="00720EAE" w:rsidP="007371A4">
            <w:pPr>
              <w:autoSpaceDE w:val="0"/>
              <w:autoSpaceDN w:val="0"/>
              <w:adjustRightInd w:val="0"/>
              <w:jc w:val="both"/>
              <w:outlineLvl w:val="3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66FC4">
              <w:rPr>
                <w:bCs/>
                <w:color w:val="000000"/>
                <w:sz w:val="20"/>
                <w:szCs w:val="20"/>
              </w:rPr>
              <w:t>2.9.</w:t>
            </w:r>
            <w:r w:rsidRPr="00B66FC4">
              <w:rPr>
                <w:sz w:val="20"/>
                <w:szCs w:val="20"/>
              </w:rPr>
              <w:t xml:space="preserve"> </w:t>
            </w:r>
            <w:r w:rsidR="005D4957" w:rsidRPr="00B66FC4">
              <w:rPr>
                <w:bCs/>
                <w:color w:val="000000"/>
                <w:sz w:val="20"/>
                <w:szCs w:val="20"/>
              </w:rPr>
              <w:t xml:space="preserve">Идентификационные признаки ценных бумаг (акций, владельцы которых имеют право на участие в общем собрании акционеров эмитента): </w:t>
            </w:r>
            <w:r w:rsidR="003606F3" w:rsidRPr="00B66FC4">
              <w:rPr>
                <w:b/>
                <w:bCs/>
                <w:i/>
                <w:color w:val="000000"/>
                <w:sz w:val="20"/>
                <w:szCs w:val="20"/>
              </w:rPr>
              <w:t xml:space="preserve">акции обыкновенные, государственный регистрационный номер выпуска ценных бумаг – </w:t>
            </w:r>
            <w:r w:rsidR="003606F3" w:rsidRPr="00B66FC4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-1-01-12689-А от 19.12.2007;, </w:t>
            </w:r>
            <w:r w:rsidR="003606F3" w:rsidRPr="00B66FC4">
              <w:rPr>
                <w:b/>
                <w:bCs/>
                <w:i/>
                <w:color w:val="000000"/>
                <w:sz w:val="20"/>
                <w:szCs w:val="20"/>
              </w:rPr>
              <w:t>ISIN– RU000A0JQLB6, CFI – ESVXFR.</w:t>
            </w:r>
          </w:p>
          <w:p w:rsidR="00D13FD1" w:rsidRPr="00B66FC4" w:rsidRDefault="007371A4" w:rsidP="007371A4">
            <w:pPr>
              <w:widowControl/>
              <w:suppressAutoHyphens w:val="0"/>
              <w:rPr>
                <w:bCs/>
                <w:i/>
                <w:spacing w:val="-4"/>
                <w:sz w:val="20"/>
                <w:szCs w:val="20"/>
                <w:lang w:bidi="ar-SA"/>
              </w:rPr>
            </w:pPr>
            <w:r>
              <w:rPr>
                <w:bCs/>
                <w:i/>
                <w:spacing w:val="-4"/>
                <w:sz w:val="20"/>
                <w:szCs w:val="20"/>
                <w:lang w:bidi="ar-S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DB2F9C" w:rsidRPr="00DB2F9C" w:rsidRDefault="00DB2F9C" w:rsidP="007371A4">
            <w:pPr>
              <w:widowControl/>
              <w:suppressAutoHyphens w:val="0"/>
              <w:rPr>
                <w:bCs/>
                <w:i/>
                <w:spacing w:val="-4"/>
                <w:sz w:val="16"/>
                <w:szCs w:val="16"/>
                <w:lang w:bidi="ar-SA"/>
              </w:rPr>
            </w:pPr>
            <w:r w:rsidRPr="00DB2F9C">
              <w:rPr>
                <w:bCs/>
                <w:i/>
                <w:spacing w:val="-4"/>
                <w:sz w:val="16"/>
                <w:szCs w:val="16"/>
                <w:lang w:bidi="ar-SA"/>
              </w:rPr>
              <w:t>*</w:t>
            </w:r>
            <w:r w:rsidRPr="00DB2F9C">
              <w:rPr>
                <w:i/>
                <w:spacing w:val="-4"/>
                <w:sz w:val="16"/>
                <w:szCs w:val="16"/>
                <w:lang w:bidi="ar-SA"/>
              </w:rPr>
              <w:t xml:space="preserve"> Недействительные и не подсчитанные по иным основаниям, предусмотренным Положением, утвержденным Банком России от 16.11.2018 г. № 660-П.</w:t>
            </w:r>
          </w:p>
          <w:p w:rsidR="00D13FD1" w:rsidRPr="00DB2F9C" w:rsidRDefault="00DB2F9C" w:rsidP="007371A4">
            <w:pPr>
              <w:suppressAutoHyphens w:val="0"/>
              <w:autoSpaceDE w:val="0"/>
              <w:autoSpaceDN w:val="0"/>
              <w:jc w:val="both"/>
              <w:rPr>
                <w:i/>
                <w:sz w:val="16"/>
                <w:szCs w:val="16"/>
                <w:lang w:bidi="ar-SA"/>
              </w:rPr>
            </w:pPr>
            <w:r w:rsidRPr="00DB2F9C">
              <w:rPr>
                <w:i/>
                <w:sz w:val="16"/>
                <w:szCs w:val="16"/>
                <w:lang w:bidi="ar-SA"/>
              </w:rPr>
              <w:t xml:space="preserve">**** </w:t>
            </w:r>
            <w:r w:rsidRPr="00DB2F9C">
              <w:rPr>
                <w:i/>
                <w:iCs/>
                <w:sz w:val="16"/>
                <w:szCs w:val="16"/>
                <w:lang w:bidi="ar-SA"/>
              </w:rPr>
              <w:t>В соответствии с п.4  ст.83 Федерального закона "Об акционерных обществах" от 26.12.1995 N 208-ФЗ о</w:t>
            </w:r>
            <w:r w:rsidRPr="00DB2F9C">
              <w:rPr>
                <w:i/>
                <w:sz w:val="16"/>
                <w:szCs w:val="16"/>
                <w:lang w:bidi="ar-SA"/>
              </w:rPr>
              <w:t>бщее собрание акционеров при принятии решения по данному вопросу считается правомочным независимо от числа не заинтересованных в совершении соответствующей сделки акционеров - владельцев голосующих акций общества, принимающих в нем участие.</w:t>
            </w:r>
          </w:p>
        </w:tc>
      </w:tr>
      <w:tr w:rsidR="008A54C2" w:rsidRPr="00B66FC4" w:rsidTr="00AE4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80"/>
        </w:trPr>
        <w:tc>
          <w:tcPr>
            <w:tcW w:w="10774" w:type="dxa"/>
            <w:gridSpan w:val="3"/>
            <w:shd w:val="clear" w:color="auto" w:fill="auto"/>
          </w:tcPr>
          <w:p w:rsidR="008A54C2" w:rsidRPr="00B66FC4" w:rsidRDefault="008A54C2" w:rsidP="007371A4">
            <w:pPr>
              <w:autoSpaceDE w:val="0"/>
              <w:jc w:val="center"/>
              <w:rPr>
                <w:rFonts w:eastAsia="Times New Roman CYR"/>
                <w:b/>
                <w:bCs/>
                <w:color w:val="000000"/>
                <w:sz w:val="20"/>
                <w:szCs w:val="20"/>
              </w:rPr>
            </w:pPr>
            <w:r w:rsidRPr="00B66FC4">
              <w:rPr>
                <w:rFonts w:eastAsia="Times New Roman CYR"/>
                <w:b/>
                <w:bCs/>
                <w:color w:val="000000"/>
                <w:sz w:val="20"/>
                <w:szCs w:val="20"/>
              </w:rPr>
              <w:lastRenderedPageBreak/>
              <w:t>3. Подпись</w:t>
            </w:r>
          </w:p>
        </w:tc>
      </w:tr>
      <w:tr w:rsidR="008A54C2" w:rsidRPr="00B66FC4" w:rsidTr="00AE4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" w:type="dxa"/>
          <w:trHeight w:val="1332"/>
        </w:trPr>
        <w:tc>
          <w:tcPr>
            <w:tcW w:w="10774" w:type="dxa"/>
            <w:gridSpan w:val="3"/>
            <w:shd w:val="clear" w:color="auto" w:fill="auto"/>
          </w:tcPr>
          <w:p w:rsidR="00094C09" w:rsidRPr="00094C09" w:rsidRDefault="00B40980" w:rsidP="007371A4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B40980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3.1. </w:t>
            </w:r>
            <w:r w:rsidR="00094C09" w:rsidRPr="00094C09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Руководитель отдела корпоративного управления </w:t>
            </w:r>
          </w:p>
          <w:p w:rsidR="00094C09" w:rsidRPr="00094C09" w:rsidRDefault="00094C09" w:rsidP="007371A4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94C09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ПАО "Наука-Связь" - корпоративный секретарь ПАО «Наука-Связь»</w:t>
            </w:r>
          </w:p>
          <w:p w:rsidR="00B40980" w:rsidRPr="00B40980" w:rsidRDefault="00094C09" w:rsidP="007371A4">
            <w:pPr>
              <w:autoSpaceDE w:val="0"/>
              <w:jc w:val="both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094C09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(представитель по доверенности о</w:t>
            </w:r>
            <w:bookmarkStart w:id="11" w:name="_GoBack"/>
            <w:bookmarkEnd w:id="11"/>
            <w:r w:rsidRPr="00094C09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т 13.05.2025 г.)                   </w:t>
            </w:r>
            <w:r w:rsidR="00B40980" w:rsidRPr="00B40980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______________      Е.Ю.Тимофеева </w:t>
            </w:r>
          </w:p>
          <w:p w:rsidR="00720EAE" w:rsidRPr="00B66FC4" w:rsidRDefault="00720EAE" w:rsidP="007371A4">
            <w:pPr>
              <w:autoSpaceDE w:val="0"/>
              <w:ind w:firstLine="709"/>
              <w:jc w:val="both"/>
              <w:rPr>
                <w:rFonts w:eastAsia="Courier New CYR"/>
                <w:color w:val="000000"/>
                <w:sz w:val="20"/>
                <w:szCs w:val="20"/>
              </w:rPr>
            </w:pPr>
          </w:p>
          <w:p w:rsidR="00720EAE" w:rsidRPr="00B66FC4" w:rsidRDefault="00720EAE" w:rsidP="007371A4">
            <w:pPr>
              <w:autoSpaceDE w:val="0"/>
              <w:jc w:val="both"/>
              <w:rPr>
                <w:rFonts w:eastAsia="Times New Roman CYR"/>
                <w:color w:val="000000"/>
                <w:sz w:val="20"/>
                <w:szCs w:val="20"/>
              </w:rPr>
            </w:pPr>
            <w:r w:rsidRPr="00B66FC4">
              <w:rPr>
                <w:rFonts w:eastAsia="Times New Roman CYR"/>
                <w:color w:val="000000"/>
                <w:sz w:val="20"/>
                <w:szCs w:val="20"/>
              </w:rPr>
              <w:t>3.2. «</w:t>
            </w:r>
            <w:r w:rsidR="00094C09">
              <w:rPr>
                <w:rFonts w:eastAsia="Times New Roman CYR"/>
                <w:color w:val="000000"/>
                <w:sz w:val="20"/>
                <w:szCs w:val="20"/>
              </w:rPr>
              <w:t>2</w:t>
            </w:r>
            <w:r w:rsidR="007371A4">
              <w:rPr>
                <w:rFonts w:eastAsia="Times New Roman CYR"/>
                <w:color w:val="000000"/>
                <w:sz w:val="20"/>
                <w:szCs w:val="20"/>
              </w:rPr>
              <w:t>8</w:t>
            </w:r>
            <w:r w:rsidRPr="00B66FC4">
              <w:rPr>
                <w:rFonts w:eastAsia="Times New Roman CYR"/>
                <w:color w:val="000000"/>
                <w:sz w:val="20"/>
                <w:szCs w:val="20"/>
              </w:rPr>
              <w:t xml:space="preserve">» </w:t>
            </w:r>
            <w:r w:rsidR="00094C09">
              <w:rPr>
                <w:rFonts w:eastAsia="Times New Roman CYR"/>
                <w:color w:val="000000"/>
                <w:sz w:val="20"/>
                <w:szCs w:val="20"/>
              </w:rPr>
              <w:t>мая</w:t>
            </w:r>
            <w:r w:rsidR="00C425A3">
              <w:rPr>
                <w:rFonts w:eastAsia="Times New Roman CYR"/>
                <w:color w:val="000000"/>
                <w:sz w:val="20"/>
                <w:szCs w:val="20"/>
              </w:rPr>
              <w:t xml:space="preserve"> </w:t>
            </w:r>
            <w:r w:rsidR="00FA0488" w:rsidRPr="00B66FC4">
              <w:rPr>
                <w:rFonts w:eastAsia="Times New Roman CYR"/>
                <w:color w:val="000000"/>
                <w:sz w:val="20"/>
                <w:szCs w:val="20"/>
              </w:rPr>
              <w:t>202</w:t>
            </w:r>
            <w:r w:rsidR="00094C09">
              <w:rPr>
                <w:rFonts w:eastAsia="Times New Roman CYR"/>
                <w:color w:val="000000"/>
                <w:sz w:val="20"/>
                <w:szCs w:val="20"/>
              </w:rPr>
              <w:t>6</w:t>
            </w:r>
            <w:r w:rsidRPr="00B66FC4">
              <w:rPr>
                <w:rFonts w:eastAsia="Times New Roman CYR"/>
                <w:color w:val="000000"/>
                <w:sz w:val="20"/>
                <w:szCs w:val="20"/>
              </w:rPr>
              <w:t xml:space="preserve"> г.                                                                        М.П.</w:t>
            </w:r>
          </w:p>
          <w:p w:rsidR="008A54C2" w:rsidRPr="00B66FC4" w:rsidRDefault="008A54C2" w:rsidP="007371A4">
            <w:pPr>
              <w:autoSpaceDE w:val="0"/>
              <w:jc w:val="both"/>
              <w:rPr>
                <w:rFonts w:eastAsia="Courier New CYR"/>
                <w:color w:val="000000"/>
                <w:sz w:val="20"/>
                <w:szCs w:val="20"/>
              </w:rPr>
            </w:pPr>
          </w:p>
        </w:tc>
      </w:tr>
      <w:bookmarkEnd w:id="0"/>
      <w:bookmarkEnd w:id="1"/>
      <w:bookmarkEnd w:id="2"/>
      <w:bookmarkEnd w:id="3"/>
      <w:bookmarkEnd w:id="4"/>
    </w:tbl>
    <w:p w:rsidR="002B5C71" w:rsidRPr="00B66FC4" w:rsidRDefault="002B5C71">
      <w:pPr>
        <w:autoSpaceDE w:val="0"/>
        <w:rPr>
          <w:rFonts w:eastAsia="Courier New CYR"/>
          <w:color w:val="000000"/>
          <w:sz w:val="20"/>
          <w:szCs w:val="20"/>
        </w:rPr>
      </w:pPr>
    </w:p>
    <w:sectPr w:rsidR="002B5C71" w:rsidRPr="00B66FC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916"/>
    <w:multiLevelType w:val="hybridMultilevel"/>
    <w:tmpl w:val="09A68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A1940"/>
    <w:multiLevelType w:val="hybridMultilevel"/>
    <w:tmpl w:val="F5FC4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D134E8"/>
    <w:multiLevelType w:val="hybridMultilevel"/>
    <w:tmpl w:val="7D1ABF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52EB3"/>
    <w:multiLevelType w:val="hybridMultilevel"/>
    <w:tmpl w:val="91620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F346E8"/>
    <w:multiLevelType w:val="multilevel"/>
    <w:tmpl w:val="56B24D96"/>
    <w:lvl w:ilvl="0">
      <w:start w:val="1"/>
      <w:numFmt w:val="decimal"/>
      <w:lvlText w:val="%1."/>
      <w:lvlJc w:val="left"/>
      <w:pPr>
        <w:ind w:left="244" w:hanging="6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4026" w:hanging="720"/>
      </w:pPr>
    </w:lvl>
    <w:lvl w:ilvl="3">
      <w:start w:val="1"/>
      <w:numFmt w:val="decimal"/>
      <w:isLgl/>
      <w:lvlText w:val="%1.%2.%3.%4."/>
      <w:lvlJc w:val="left"/>
      <w:pPr>
        <w:ind w:left="6252" w:hanging="1080"/>
      </w:pPr>
    </w:lvl>
    <w:lvl w:ilvl="4">
      <w:start w:val="1"/>
      <w:numFmt w:val="decimal"/>
      <w:isLgl/>
      <w:lvlText w:val="%1.%2.%3.%4.%5."/>
      <w:lvlJc w:val="left"/>
      <w:pPr>
        <w:ind w:left="8118" w:hanging="1080"/>
      </w:pPr>
    </w:lvl>
    <w:lvl w:ilvl="5">
      <w:start w:val="1"/>
      <w:numFmt w:val="decimal"/>
      <w:isLgl/>
      <w:lvlText w:val="%1.%2.%3.%4.%5.%6."/>
      <w:lvlJc w:val="left"/>
      <w:pPr>
        <w:ind w:left="10344" w:hanging="1440"/>
      </w:pPr>
    </w:lvl>
    <w:lvl w:ilvl="6">
      <w:start w:val="1"/>
      <w:numFmt w:val="decimal"/>
      <w:isLgl/>
      <w:lvlText w:val="%1.%2.%3.%4.%5.%6.%7."/>
      <w:lvlJc w:val="left"/>
      <w:pPr>
        <w:ind w:left="12210" w:hanging="1440"/>
      </w:pPr>
    </w:lvl>
    <w:lvl w:ilvl="7">
      <w:start w:val="1"/>
      <w:numFmt w:val="decimal"/>
      <w:isLgl/>
      <w:lvlText w:val="%1.%2.%3.%4.%5.%6.%7.%8."/>
      <w:lvlJc w:val="left"/>
      <w:pPr>
        <w:ind w:left="14436" w:hanging="1800"/>
      </w:pPr>
    </w:lvl>
    <w:lvl w:ilvl="8">
      <w:start w:val="1"/>
      <w:numFmt w:val="decimal"/>
      <w:isLgl/>
      <w:lvlText w:val="%1.%2.%3.%4.%5.%6.%7.%8.%9."/>
      <w:lvlJc w:val="left"/>
      <w:pPr>
        <w:ind w:left="16662" w:hanging="2160"/>
      </w:pPr>
    </w:lvl>
  </w:abstractNum>
  <w:abstractNum w:abstractNumId="5" w15:restartNumberingAfterBreak="0">
    <w:nsid w:val="4B1E1062"/>
    <w:multiLevelType w:val="hybridMultilevel"/>
    <w:tmpl w:val="785E1EFE"/>
    <w:lvl w:ilvl="0" w:tplc="2A4E6F76">
      <w:numFmt w:val="bullet"/>
      <w:lvlText w:val="-"/>
      <w:lvlJc w:val="left"/>
      <w:pPr>
        <w:tabs>
          <w:tab w:val="num" w:pos="501"/>
        </w:tabs>
        <w:ind w:left="501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297"/>
        </w:tabs>
        <w:ind w:left="129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17"/>
        </w:tabs>
        <w:ind w:left="20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37"/>
        </w:tabs>
        <w:ind w:left="27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57"/>
        </w:tabs>
        <w:ind w:left="345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77"/>
        </w:tabs>
        <w:ind w:left="41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97"/>
        </w:tabs>
        <w:ind w:left="48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17"/>
        </w:tabs>
        <w:ind w:left="561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37"/>
        </w:tabs>
        <w:ind w:left="6337" w:hanging="360"/>
      </w:pPr>
      <w:rPr>
        <w:rFonts w:ascii="Wingdings" w:hAnsi="Wingdings" w:hint="default"/>
      </w:rPr>
    </w:lvl>
  </w:abstractNum>
  <w:abstractNum w:abstractNumId="6" w15:restartNumberingAfterBreak="0">
    <w:nsid w:val="4BC74E12"/>
    <w:multiLevelType w:val="hybridMultilevel"/>
    <w:tmpl w:val="CD720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83276D"/>
    <w:multiLevelType w:val="hybridMultilevel"/>
    <w:tmpl w:val="8004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892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85A32"/>
    <w:multiLevelType w:val="hybridMultilevel"/>
    <w:tmpl w:val="C90AF75C"/>
    <w:lvl w:ilvl="0" w:tplc="2250AC26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E6273"/>
    <w:multiLevelType w:val="hybridMultilevel"/>
    <w:tmpl w:val="02FCD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C11FB7"/>
    <w:multiLevelType w:val="multilevel"/>
    <w:tmpl w:val="56B24D96"/>
    <w:lvl w:ilvl="0">
      <w:start w:val="1"/>
      <w:numFmt w:val="decimal"/>
      <w:lvlText w:val="%1."/>
      <w:lvlJc w:val="left"/>
      <w:pPr>
        <w:ind w:left="244" w:hanging="67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4026" w:hanging="720"/>
      </w:pPr>
    </w:lvl>
    <w:lvl w:ilvl="3">
      <w:start w:val="1"/>
      <w:numFmt w:val="decimal"/>
      <w:isLgl/>
      <w:lvlText w:val="%1.%2.%3.%4."/>
      <w:lvlJc w:val="left"/>
      <w:pPr>
        <w:ind w:left="6252" w:hanging="1080"/>
      </w:pPr>
    </w:lvl>
    <w:lvl w:ilvl="4">
      <w:start w:val="1"/>
      <w:numFmt w:val="decimal"/>
      <w:isLgl/>
      <w:lvlText w:val="%1.%2.%3.%4.%5."/>
      <w:lvlJc w:val="left"/>
      <w:pPr>
        <w:ind w:left="8118" w:hanging="1080"/>
      </w:pPr>
    </w:lvl>
    <w:lvl w:ilvl="5">
      <w:start w:val="1"/>
      <w:numFmt w:val="decimal"/>
      <w:isLgl/>
      <w:lvlText w:val="%1.%2.%3.%4.%5.%6."/>
      <w:lvlJc w:val="left"/>
      <w:pPr>
        <w:ind w:left="10344" w:hanging="1440"/>
      </w:pPr>
    </w:lvl>
    <w:lvl w:ilvl="6">
      <w:start w:val="1"/>
      <w:numFmt w:val="decimal"/>
      <w:isLgl/>
      <w:lvlText w:val="%1.%2.%3.%4.%5.%6.%7."/>
      <w:lvlJc w:val="left"/>
      <w:pPr>
        <w:ind w:left="12210" w:hanging="1440"/>
      </w:pPr>
    </w:lvl>
    <w:lvl w:ilvl="7">
      <w:start w:val="1"/>
      <w:numFmt w:val="decimal"/>
      <w:isLgl/>
      <w:lvlText w:val="%1.%2.%3.%4.%5.%6.%7.%8."/>
      <w:lvlJc w:val="left"/>
      <w:pPr>
        <w:ind w:left="14436" w:hanging="1800"/>
      </w:pPr>
    </w:lvl>
    <w:lvl w:ilvl="8">
      <w:start w:val="1"/>
      <w:numFmt w:val="decimal"/>
      <w:isLgl/>
      <w:lvlText w:val="%1.%2.%3.%4.%5.%6.%7.%8.%9."/>
      <w:lvlJc w:val="left"/>
      <w:pPr>
        <w:ind w:left="16662" w:hanging="216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25A"/>
    <w:rsid w:val="000063FE"/>
    <w:rsid w:val="000262E8"/>
    <w:rsid w:val="000441EA"/>
    <w:rsid w:val="00057957"/>
    <w:rsid w:val="00084D18"/>
    <w:rsid w:val="00094C09"/>
    <w:rsid w:val="000958DD"/>
    <w:rsid w:val="000D0BFF"/>
    <w:rsid w:val="000D7005"/>
    <w:rsid w:val="000E624D"/>
    <w:rsid w:val="000F1864"/>
    <w:rsid w:val="0013464E"/>
    <w:rsid w:val="001F4593"/>
    <w:rsid w:val="00200C76"/>
    <w:rsid w:val="00205C85"/>
    <w:rsid w:val="00206952"/>
    <w:rsid w:val="00227C34"/>
    <w:rsid w:val="002563BB"/>
    <w:rsid w:val="00264CC8"/>
    <w:rsid w:val="00286573"/>
    <w:rsid w:val="002A508E"/>
    <w:rsid w:val="002B5C71"/>
    <w:rsid w:val="002E0B77"/>
    <w:rsid w:val="003019DD"/>
    <w:rsid w:val="0033798E"/>
    <w:rsid w:val="00360479"/>
    <w:rsid w:val="003606F3"/>
    <w:rsid w:val="00367264"/>
    <w:rsid w:val="003817C2"/>
    <w:rsid w:val="00381CDF"/>
    <w:rsid w:val="003A3F9B"/>
    <w:rsid w:val="003C13F4"/>
    <w:rsid w:val="003D2C97"/>
    <w:rsid w:val="003D7103"/>
    <w:rsid w:val="003D7CFD"/>
    <w:rsid w:val="003F0F7F"/>
    <w:rsid w:val="003F6932"/>
    <w:rsid w:val="00423534"/>
    <w:rsid w:val="004718B0"/>
    <w:rsid w:val="00481C5B"/>
    <w:rsid w:val="004C5045"/>
    <w:rsid w:val="004F5FCF"/>
    <w:rsid w:val="00532D04"/>
    <w:rsid w:val="00566093"/>
    <w:rsid w:val="0057507C"/>
    <w:rsid w:val="005B5889"/>
    <w:rsid w:val="005D38BE"/>
    <w:rsid w:val="005D4957"/>
    <w:rsid w:val="00675450"/>
    <w:rsid w:val="006B659E"/>
    <w:rsid w:val="006D1B84"/>
    <w:rsid w:val="006F7A14"/>
    <w:rsid w:val="00714AF6"/>
    <w:rsid w:val="00720EAE"/>
    <w:rsid w:val="007371A4"/>
    <w:rsid w:val="007449AE"/>
    <w:rsid w:val="00747EDF"/>
    <w:rsid w:val="00750F60"/>
    <w:rsid w:val="007E61F7"/>
    <w:rsid w:val="007F7DF6"/>
    <w:rsid w:val="00812231"/>
    <w:rsid w:val="00892F89"/>
    <w:rsid w:val="00897441"/>
    <w:rsid w:val="008A54C2"/>
    <w:rsid w:val="008C50B1"/>
    <w:rsid w:val="008F1757"/>
    <w:rsid w:val="008F397B"/>
    <w:rsid w:val="00927276"/>
    <w:rsid w:val="0093367F"/>
    <w:rsid w:val="00951EC3"/>
    <w:rsid w:val="00967B67"/>
    <w:rsid w:val="0097237C"/>
    <w:rsid w:val="00972BFD"/>
    <w:rsid w:val="00997037"/>
    <w:rsid w:val="009B4C82"/>
    <w:rsid w:val="009D1B3C"/>
    <w:rsid w:val="009F195E"/>
    <w:rsid w:val="00A113BA"/>
    <w:rsid w:val="00A16685"/>
    <w:rsid w:val="00A209EE"/>
    <w:rsid w:val="00A479C0"/>
    <w:rsid w:val="00A6044C"/>
    <w:rsid w:val="00A71DB2"/>
    <w:rsid w:val="00A75A44"/>
    <w:rsid w:val="00AC3183"/>
    <w:rsid w:val="00AC7981"/>
    <w:rsid w:val="00AD49CA"/>
    <w:rsid w:val="00AE4560"/>
    <w:rsid w:val="00B06DB5"/>
    <w:rsid w:val="00B40980"/>
    <w:rsid w:val="00B40BA9"/>
    <w:rsid w:val="00B422EA"/>
    <w:rsid w:val="00B66FC4"/>
    <w:rsid w:val="00BA43D8"/>
    <w:rsid w:val="00BB76DB"/>
    <w:rsid w:val="00BC4076"/>
    <w:rsid w:val="00C061B3"/>
    <w:rsid w:val="00C07BCF"/>
    <w:rsid w:val="00C100DD"/>
    <w:rsid w:val="00C360B9"/>
    <w:rsid w:val="00C425A3"/>
    <w:rsid w:val="00CB2905"/>
    <w:rsid w:val="00D13FD1"/>
    <w:rsid w:val="00D14B00"/>
    <w:rsid w:val="00D3225A"/>
    <w:rsid w:val="00D63451"/>
    <w:rsid w:val="00D90008"/>
    <w:rsid w:val="00DB2F9C"/>
    <w:rsid w:val="00DF56C0"/>
    <w:rsid w:val="00E002D9"/>
    <w:rsid w:val="00E51EB3"/>
    <w:rsid w:val="00E52637"/>
    <w:rsid w:val="00E57FB6"/>
    <w:rsid w:val="00E71D02"/>
    <w:rsid w:val="00E77342"/>
    <w:rsid w:val="00E84EBE"/>
    <w:rsid w:val="00E93A03"/>
    <w:rsid w:val="00EA4323"/>
    <w:rsid w:val="00F00612"/>
    <w:rsid w:val="00F128F0"/>
    <w:rsid w:val="00F43428"/>
    <w:rsid w:val="00F650D9"/>
    <w:rsid w:val="00F77BB0"/>
    <w:rsid w:val="00F84F03"/>
    <w:rsid w:val="00F9419E"/>
    <w:rsid w:val="00FA0488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34023E6"/>
  <w15:chartTrackingRefBased/>
  <w15:docId w15:val="{0EBF3302-C69D-4E6A-81E4-5CE3143C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  <w:lang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Subst">
    <w:name w:val="Subst"/>
    <w:rPr>
      <w:b/>
      <w:bCs/>
      <w:i/>
      <w:iCs/>
    </w:rPr>
  </w:style>
  <w:style w:type="character" w:styleId="a3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SubHeading">
    <w:name w:val="Sub Heading"/>
    <w:next w:val="a"/>
    <w:pPr>
      <w:widowControl w:val="0"/>
      <w:suppressAutoHyphens/>
      <w:autoSpaceDE w:val="0"/>
      <w:spacing w:before="240" w:after="40"/>
    </w:pPr>
    <w:rPr>
      <w:lang w:bidi="ru-RU"/>
    </w:rPr>
  </w:style>
  <w:style w:type="paragraph" w:customStyle="1" w:styleId="prilozhenie">
    <w:name w:val="prilozhenie"/>
    <w:basedOn w:val="a"/>
    <w:pPr>
      <w:ind w:firstLine="709"/>
      <w:jc w:val="both"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customStyle="1" w:styleId="ConsNormal">
    <w:name w:val="ConsNormal"/>
    <w:rsid w:val="004F5FC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a8">
    <w:name w:val="Знак Знак Знак Знак"/>
    <w:basedOn w:val="a"/>
    <w:rsid w:val="00812231"/>
    <w:pPr>
      <w:widowControl/>
      <w:suppressAutoHyphens w:val="0"/>
    </w:pPr>
    <w:rPr>
      <w:sz w:val="20"/>
      <w:szCs w:val="20"/>
      <w:lang w:val="en-US" w:eastAsia="en-US" w:bidi="ar-SA"/>
    </w:rPr>
  </w:style>
  <w:style w:type="table" w:styleId="-1">
    <w:name w:val="Table Web 1"/>
    <w:basedOn w:val="a1"/>
    <w:rsid w:val="006F7A14"/>
    <w:pPr>
      <w:widowControl w:val="0"/>
      <w:suppressAutoHyphens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9">
    <w:name w:val="Table Grid"/>
    <w:basedOn w:val="a1"/>
    <w:uiPriority w:val="99"/>
    <w:rsid w:val="00E57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3">
    <w:name w:val="Table Grid 1"/>
    <w:basedOn w:val="a1"/>
    <w:rsid w:val="00E57FB6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Balloon Text"/>
    <w:basedOn w:val="a"/>
    <w:semiHidden/>
    <w:rsid w:val="00F00612"/>
    <w:rPr>
      <w:rFonts w:ascii="Tahoma" w:hAnsi="Tahoma" w:cs="Tahoma"/>
      <w:sz w:val="16"/>
      <w:szCs w:val="16"/>
    </w:rPr>
  </w:style>
  <w:style w:type="character" w:styleId="ab">
    <w:name w:val="Strong"/>
    <w:uiPriority w:val="22"/>
    <w:qFormat/>
    <w:rsid w:val="0033798E"/>
    <w:rPr>
      <w:b/>
      <w:bCs/>
    </w:rPr>
  </w:style>
  <w:style w:type="paragraph" w:styleId="2">
    <w:name w:val="Body Text Indent 2"/>
    <w:basedOn w:val="a"/>
    <w:link w:val="20"/>
    <w:rsid w:val="00205C85"/>
    <w:pPr>
      <w:widowControl/>
      <w:suppressAutoHyphens w:val="0"/>
      <w:spacing w:after="120" w:line="480" w:lineRule="auto"/>
      <w:ind w:left="283"/>
    </w:pPr>
    <w:rPr>
      <w:lang w:bidi="ar-SA"/>
    </w:rPr>
  </w:style>
  <w:style w:type="character" w:customStyle="1" w:styleId="20">
    <w:name w:val="Основной текст с отступом 2 Знак"/>
    <w:link w:val="2"/>
    <w:rsid w:val="00205C85"/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927276"/>
    <w:rPr>
      <w:color w:val="605E5C"/>
      <w:shd w:val="clear" w:color="auto" w:fill="E1DFDD"/>
    </w:rPr>
  </w:style>
  <w:style w:type="paragraph" w:customStyle="1" w:styleId="Default">
    <w:name w:val="Default"/>
    <w:rsid w:val="009D1B3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aon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8</Pages>
  <Words>4733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2</Company>
  <LinksUpToDate>false</LinksUpToDate>
  <CharactersWithSpaces>31649</CharactersWithSpaces>
  <SharedDoc>false</SharedDoc>
  <HLinks>
    <vt:vector size="12" baseType="variant">
      <vt:variant>
        <vt:i4>2097274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http://www.e-disclosure.ru/portal/company.aspx?id=20639</vt:lpwstr>
      </vt:variant>
      <vt:variant>
        <vt:lpwstr/>
      </vt:variant>
      <vt:variant>
        <vt:i4>196699</vt:i4>
      </vt:variant>
      <vt:variant>
        <vt:i4>0</vt:i4>
      </vt:variant>
      <vt:variant>
        <vt:i4>0</vt:i4>
      </vt:variant>
      <vt:variant>
        <vt:i4>5</vt:i4>
      </vt:variant>
      <vt:variant>
        <vt:lpwstr>http://www.oaonsv.ru/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1</dc:creator>
  <cp:keywords/>
  <dc:description/>
  <cp:lastModifiedBy>Тимофеева Екатерина Юрьевна</cp:lastModifiedBy>
  <cp:revision>53</cp:revision>
  <cp:lastPrinted>2024-03-01T14:24:00Z</cp:lastPrinted>
  <dcterms:created xsi:type="dcterms:W3CDTF">2012-11-01T11:10:00Z</dcterms:created>
  <dcterms:modified xsi:type="dcterms:W3CDTF">2026-05-28T10:20:00Z</dcterms:modified>
</cp:coreProperties>
</file>